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Violin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207,400</w:t>
            </w:r>
            <w:r>
              <w:rPr>
                <w:rFonts w:ascii="Times;serif" w:hAnsi="Times;serif"/>
                <w:color w:val="008000"/>
                <w:position w:val="7"/>
                <w:sz w:val="16"/>
                <w:sz w:val="20"/>
                <w:shd w:fill="FFFFFF" w:val="clear"/>
              </w:rPr>
              <w:t>(1)(2)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10/26/2035</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1,048,244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1,984,157</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"Effective Time"), (i) Cariboos Merger Sub Corp., a wholly owned subsidiary of Cyclerion Therapeutics, Inc. ("Cyclerion"), merged with and into Korsana Biosciences, Inc. ("Pre-Merger Korsana"), with Pre-Merger Korsana continuing as a wholly owned subsidiary of Cyclerion and the surviving corporation of the merger (the "First Merger"), and (ii) immediately thereafter, Pre-Merger Korsana merged with and into Cariboos Merger Sub II, LLC, a second wholly owned subsidiary of Cyclerion ("Second Merger Sub"), with Second Merger Sub being the surviving entity of the merger under the name Korsana Biosciences Operating Company, LLC (the "Second Merger" and, together with the First Merger, the "Merger"). At the Effective Time, Cyclerion changed its name to "Korsana Biosciences, Inc." (hereinafter,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the Issuer's common stock received by the Reporting Person in the Merger in exchange for the shares of Pre-Merger Korsana's common stock held by the Reporting Person prior to the Merger. Each share of Pre-Merger Korsana's restricted common stock held at the Effective Time was exchanged for 0.2074 restricted shares of the Issuer's common stock. Of these shares of common stock, 142,588 remain subject to forfeiture restrictions and vest in equal monthly installments through June 1, 2029,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options to purchase shares of the Issuer's common stock received by the Reporting Person in the Merger in exchange for options of Pre-Merger Korsana held by the Reporting Person prior to the Merger. This option vested as to 25% on June 1, 2026 and vests in equal monthly installments thereafter through June 1, 2029,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options to purchase shares of the Issuer's common stock received by the Reporting Person in the Merger in exchange for options of Pre-Merger Korsana held by the Reporting Person prior to the Merger. This option will vest as to 25% on June 18, 2027 and in equal monthly installments thereafter through June 18, 2030, subject to the Reporting Person's continued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and President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Jonathan Violin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Mark Vignola,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003" w:type="dxa"/>
        <w:jc w:val="left"/>
        <w:tblInd w:w="0" w:type="dxa"/>
        <w:tblLayout w:type="fixed"/>
        <w:tblCellMar>
          <w:top w:w="28" w:type="dxa"/>
          <w:left w:w="28" w:type="dxa"/>
          <w:bottom w:w="28" w:type="dxa"/>
          <w:right w:w="28" w:type="dxa"/>
        </w:tblCellMar>
      </w:tblPr>
      <w:tblGrid>
        <w:gridCol w:w="161"/>
        <w:gridCol w:w="165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Violin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Jonathan Violin</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30615"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1315</Words>
  <Characters>7049</Characters>
  <CharactersWithSpaces>8299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