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Gottesdiener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Andrew Gottesdiener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Mark Vignola,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 Andrew Gottesdiener</w:t>
      </w:r>
    </w:p>
    <w:p>
      <w:pPr>
        <w:pStyle w:val="TextBody"/>
        <w:bidi w:val="0"/>
        <w:jc w:val="left"/>
        <w:rPr>
          <w:rFonts w:ascii="Times New Roman" w:hAnsi="Times New Roman"/>
          <w:color w:val="000000"/>
          <w:sz w:val="20"/>
        </w:rPr>
      </w:pPr>
      <w:r>
        <w:rPr>
          <w:rFonts w:ascii="Times New Roman" w:hAnsi="Times New Roman"/>
          <w:color w:val="000000"/>
          <w:sz w:val="20"/>
        </w:rPr>
        <w:t>Andrew Gottesdiener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2292"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923</Words>
  <Characters>4955</Characters>
  <CharactersWithSpaces>5824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