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Leoni Matthew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253,415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394,314</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"Effective Time"), (i) Cariboos Merger Sub Corp., a wholly owned subsidiary of Cyclerion Therapeutics, Inc. ("Cyclerion"), merged with and into Korsana Biosciences, Inc. ("Pre-Merger Korsana"), with Pre-Merger Korsana continuing as a wholly owned subsidiary of Cyclerion and the surviving corporation of the merger (the "First Merger"), and (ii) immediately thereafter, Pre-Merger Korsana merged with and into Cariboos Merger Sub II, LLC, a second wholly owned subsidiary of Cyclerion ("Second Merger Sub"), with Second Merger Sub being the surviving entity of the merger under the name Korsana Biosciences Operating Company, LLC (the "Second Merger" and, together with the First Merger, the "Merger"). At the Effective Time, Cyclerion changed its name to "Korsana Biosciences, Inc." (hereinafter,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options to purchase shares of the Issuer's common stock received by the Reporting Person in the Merger in exchange for options of Pre-Merger Korsana held by the Reporting Person prior to the Merger. This option will vest as to 25% on June 8, 2027 and in equal monthly installments thereafter through June 8, 2030,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options to purchase shares of the Issuer's common stock received by the Reporting Person in the Merger in exchange for options of Pre-Merger Korsana held by the Reporting Person prior to the Merger. This option will vest as to 25% on June 18, 2027 and in equal monthly installments thereafter through June 18, 2030, subject to the Reporting Person's continued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Matthew Leoni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55237-ex24.htm"/>
      <w:bookmarkStart w:id="3" w:name="ksck0001755237ex24"/>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Mark Vignola, Kyle Breidenstine, Ryan A. Murr and Branden Berns, and any of their substitutes, signing singly, as the undersigned’s true and lawful attorney-in-fact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 director and/or officer of Korsana Biosciences, Inc. (the “Company”), Forms 3, 4, and 5 in accordance with Section 16(a) of the Securities Exchange Act of 1934, as amended, and the rules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September 8, 2026.</w:t>
      </w:r>
    </w:p>
    <w:p>
      <w:pPr>
        <w:pStyle w:val="TextBody"/>
        <w:bidi w:val="0"/>
        <w:jc w:val="left"/>
        <w:rPr/>
      </w:pPr>
      <w:r>
        <w:rPr/>
        <w:t> </w:t>
      </w:r>
    </w:p>
    <w:tbl>
      <w:tblPr>
        <w:tblW w:w="1797" w:type="dxa"/>
        <w:jc w:val="left"/>
        <w:tblInd w:w="0" w:type="dxa"/>
        <w:tblLayout w:type="fixed"/>
        <w:tblCellMar>
          <w:top w:w="28" w:type="dxa"/>
          <w:left w:w="28" w:type="dxa"/>
          <w:bottom w:w="28" w:type="dxa"/>
          <w:right w:w="28" w:type="dxa"/>
        </w:tblCellMar>
      </w:tblPr>
      <w:tblGrid>
        <w:gridCol w:w="161"/>
        <w:gridCol w:w="1636"/>
      </w:tblGrid>
      <w:tr>
        <w:trPr/>
        <w:tc>
          <w:tcPr>
            <w:tcW w:w="16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Leoni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Leoni</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640" TargetMode="External"/><Relationship Id="rId3" Type="http://schemas.openxmlformats.org/officeDocument/2006/relationships/hyperlink" Target="http://www.sec.gov/cgi-bin/browse-edgar?action=getcompany&amp;CIK=00017552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1212</Words>
  <Characters>6479</Characters>
  <CharactersWithSpaces>7621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