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Vignola Mark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03/08/2036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253,415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394,314</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"Effective Time"), (i) Cariboos Merger Sub Corp., a wholly owned subsidiary of Cyclerion Therapeutics, Inc. ("Cyclerion"), merged with and into Korsana Biosciences, Inc. ("Pre-Merger Korsana"), with Pre-Merger Korsana continuing as a wholly owned subsidiary of Cyclerion and the surviving corporation of the merger (the "First Merger"), and (ii) immediately thereafter, Pre-Merger Korsana merged with and into Cariboos Merger Sub II, LLC, a second wholly owned subsidiary of Cyclerion ("Second Merger Sub"), with Second Merger Sub being the surviving entity of the merger under the name Korsana Biosciences Operating Company, LLC (the "Second Merger" and, together with the First Merger, the "Merger"). At the Effective Time, Cyclerion changed its name to "Korsana Biosciences, Inc." (hereinafter,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options to purchase shares of the Issuer's common stock received by the Reporting Person in the Merger in exchange for options of Pre-Merger Korsana held by the Reporting Person prior to the Merger. This option will vest as to 25% on March 6, 2027 and in equal monthly installments thereafter through March 6, 2030, subject to the Reporting Person's continued service to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options to purchase shares of the Issuer's common stock received by the Reporting Person in the Merger in exchange for options of Pre-Merger Korsana held by the Reporting Person prior to the Merger. This option will vest as to 25% on June 18, 2027 and in equal monthly installments thereafter through June 18, 2030, subject to the Reporting Person's continued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55237-ex24.htm"/>
      <w:bookmarkStart w:id="3" w:name="ksck0001755237ex24"/>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Kyle Breidenstine, Ryan A. Murr and Branden Berns,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Korsana Biosciences,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September 8, 2026.</w:t>
      </w:r>
    </w:p>
    <w:p>
      <w:pPr>
        <w:pStyle w:val="TextBody"/>
        <w:bidi w:val="0"/>
        <w:jc w:val="left"/>
        <w:rPr/>
      </w:pPr>
      <w:r>
        <w:rPr/>
        <w:t> </w:t>
      </w:r>
    </w:p>
    <w:p>
      <w:pPr>
        <w:pStyle w:val="TextBody"/>
        <w:bidi w:val="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283"/>
              <w:jc w:val="left"/>
              <w:rPr>
                <w:sz w:val="4"/>
                <w:szCs w:val="4"/>
              </w:rPr>
            </w:pPr>
            <w:r>
              <w:rPr>
                <w:sz w:val="4"/>
                <w:szCs w:val="4"/>
              </w:rPr>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Vignola</w:t>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Vignola</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5429" TargetMode="External"/><Relationship Id="rId3" Type="http://schemas.openxmlformats.org/officeDocument/2006/relationships/hyperlink" Target="http://www.sec.gov/cgi-bin/browse-edgar?action=getcompany&amp;CIK=0001755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1205</Words>
  <Characters>6431</Characters>
  <CharactersWithSpaces>7566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