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471"/>
        <w:gridCol w:w="1448"/>
        <w:gridCol w:w="3008"/>
        <w:gridCol w:w="2278"/>
      </w:tblGrid>
      <w:tr>
        <w:trPr/>
        <w:tc>
          <w:tcPr>
            <w:tcW w:w="34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351"/>
            </w:tblGrid>
            <w:tr>
              <w:trPr/>
              <w:tc>
                <w:tcPr>
                  <w:tcW w:w="3351" w:type="dxa"/>
                  <w:tcBorders/>
                  <w:vAlign w:val="center"/>
                </w:tcPr>
                <w:p>
                  <w:pPr>
                    <w:pStyle w:val="TableContents"/>
                    <w:bidi w:val="0"/>
                    <w:spacing w:before="0" w:after="283"/>
                    <w:jc w:val="left"/>
                    <w:rPr/>
                  </w:pPr>
                  <w:hyperlink r:id="rId2">
                    <w:r>
                      <w:rPr>
                        <w:rStyle w:val="InternetLink"/>
                      </w:rPr>
                      <w:t>Fairmount Funds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17"/>
              <w:gridCol w:w="1117"/>
              <w:gridCol w:w="1117"/>
            </w:tblGrid>
            <w:tr>
              <w:trPr/>
              <w:tc>
                <w:tcPr>
                  <w:tcW w:w="111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1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1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351"/>
            </w:tblGrid>
            <w:tr>
              <w:trPr/>
              <w:tc>
                <w:tcPr>
                  <w:tcW w:w="33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BARR HARBOR DRIVE, SUITE 400</w:t>
                  </w:r>
                </w:p>
              </w:tc>
            </w:tr>
            <w:tr>
              <w:trPr/>
              <w:tc>
                <w:tcPr>
                  <w:tcW w:w="33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17"/>
              <w:gridCol w:w="1117"/>
              <w:gridCol w:w="1117"/>
            </w:tblGrid>
            <w:tr>
              <w:trPr/>
              <w:tc>
                <w:tcPr>
                  <w:tcW w:w="1117"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CONSHOHOCKEN</w:t>
                  </w:r>
                </w:p>
              </w:tc>
              <w:tc>
                <w:tcPr>
                  <w:tcW w:w="1117"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17"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19428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17"/>
              <w:gridCol w:w="1117"/>
              <w:gridCol w:w="1117"/>
            </w:tblGrid>
            <w:tr>
              <w:trPr/>
              <w:tc>
                <w:tcPr>
                  <w:tcW w:w="111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1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1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448"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09/08/2026</w:t>
            </w:r>
          </w:p>
        </w:tc>
        <w:tc>
          <w:tcPr>
            <w:tcW w:w="5286"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Korsana Biosciences, Inc.</w:t>
              </w:r>
            </w:hyperlink>
            <w:r>
              <w:rPr/>
              <w:t xml:space="preserve"> [ </w:t>
            </w:r>
            <w:r>
              <w:rPr>
                <w:rFonts w:ascii="Times;serif" w:hAnsi="Times;serif"/>
                <w:color w:val="0000FF"/>
                <w:sz w:val="24"/>
                <w:shd w:fill="FFFFFF" w:val="clear"/>
              </w:rPr>
              <w:t>KRSA</w:t>
            </w:r>
            <w:r>
              <w:rPr/>
              <w:t xml:space="preserve"> ] </w:t>
              <w:br/>
            </w:r>
            <w:r>
              <w:rPr>
                <w:rFonts w:ascii="arial;helvetica;sans-serif" w:hAnsi="arial;helvetica;sans-serif"/>
                <w:sz w:val="20"/>
              </w:rPr>
              <w:t>Foreign Trading Symbol</w:t>
            </w:r>
          </w:p>
        </w:tc>
      </w:tr>
      <w:tr>
        <w:trPr/>
        <w:tc>
          <w:tcPr>
            <w:tcW w:w="34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44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08"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32"/>
              <w:gridCol w:w="1012"/>
              <w:gridCol w:w="432"/>
              <w:gridCol w:w="1012"/>
            </w:tblGrid>
            <w:tr>
              <w:trPr/>
              <w:tc>
                <w:tcPr>
                  <w:tcW w:w="432"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1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32"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1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32"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32"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88"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278"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4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448"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08"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278"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23"/>
              <w:gridCol w:w="1835"/>
            </w:tblGrid>
            <w:tr>
              <w:trPr/>
              <w:tc>
                <w:tcPr>
                  <w:tcW w:w="323"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2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83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16"/>
        <w:gridCol w:w="1965"/>
        <w:gridCol w:w="1170"/>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16"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5"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70"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6,911,174</w:t>
            </w:r>
            <w:r>
              <w:rPr>
                <w:rFonts w:ascii="Times;serif" w:hAnsi="Times;serif"/>
                <w:color w:val="008000"/>
                <w:position w:val="7"/>
                <w:sz w:val="16"/>
                <w:sz w:val="20"/>
                <w:shd w:fill="FFFFFF" w:val="clear"/>
              </w:rPr>
              <w:t>(1)(2)</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Fairmount Healthcare Fund II L.P.</w:t>
            </w:r>
            <w:r>
              <w:rPr>
                <w:rFonts w:ascii="Times;serif" w:hAnsi="Times;serif"/>
                <w:color w:val="008000"/>
                <w:position w:val="7"/>
                <w:sz w:val="16"/>
                <w:sz w:val="20"/>
                <w:shd w:fill="FFFFFF" w:val="clear"/>
              </w:rPr>
              <w:t>(3)</w:t>
            </w:r>
          </w:p>
        </w:tc>
      </w:tr>
      <w:tr>
        <w:trPr/>
        <w:tc>
          <w:tcPr>
            <w:tcW w:w="441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2,192,555</w:t>
            </w:r>
            <w:r>
              <w:rPr>
                <w:rFonts w:ascii="Times;serif" w:hAnsi="Times;serif"/>
                <w:color w:val="008000"/>
                <w:position w:val="7"/>
                <w:sz w:val="16"/>
                <w:sz w:val="20"/>
                <w:shd w:fill="FFFFFF" w:val="clear"/>
              </w:rPr>
              <w:t>(1)(2)</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Fairmount Healthcare Co-Invest VI L.P.</w:t>
            </w:r>
            <w:r>
              <w:rPr>
                <w:rFonts w:ascii="Times;serif" w:hAnsi="Times;serif"/>
                <w:color w:val="008000"/>
                <w:position w:val="7"/>
                <w:sz w:val="16"/>
                <w:sz w:val="20"/>
                <w:shd w:fill="FFFFFF" w:val="clear"/>
              </w:rPr>
              <w:t>(3)</w:t>
            </w:r>
          </w:p>
        </w:tc>
      </w:tr>
    </w:tbl>
    <w:tbl>
      <w:tblPr>
        <w:tblW w:w="5000" w:type="pct"/>
        <w:jc w:val="left"/>
        <w:tblInd w:w="-7" w:type="dxa"/>
        <w:tblLayout w:type="fixed"/>
        <w:tblCellMar>
          <w:top w:w="60" w:type="dxa"/>
          <w:left w:w="60" w:type="dxa"/>
          <w:bottom w:w="60" w:type="dxa"/>
          <w:right w:w="60" w:type="dxa"/>
        </w:tblCellMar>
      </w:tblPr>
      <w:tblGrid>
        <w:gridCol w:w="1686"/>
        <w:gridCol w:w="1221"/>
        <w:gridCol w:w="1118"/>
        <w:gridCol w:w="1230"/>
        <w:gridCol w:w="1188"/>
        <w:gridCol w:w="1244"/>
        <w:gridCol w:w="1198"/>
        <w:gridCol w:w="1320"/>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8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41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4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1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8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1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23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118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4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B Non-Voting Preferred Stock</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(4)(5)</w:t>
            </w:r>
          </w:p>
        </w:tc>
        <w:tc>
          <w:tcPr>
            <w:tcW w:w="11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(4)(5)</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2,074,000</w:t>
            </w:r>
            <w:r>
              <w:rPr>
                <w:rFonts w:ascii="Times;serif" w:hAnsi="Times;serif"/>
                <w:color w:val="008000"/>
                <w:position w:val="7"/>
                <w:sz w:val="16"/>
                <w:sz w:val="20"/>
                <w:shd w:fill="FFFFFF" w:val="clear"/>
              </w:rPr>
              <w:t>(1)(4)(5)(6)</w:t>
            </w:r>
          </w:p>
        </w:tc>
        <w:tc>
          <w:tcPr>
            <w:tcW w:w="12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(4)(5)</w:t>
            </w:r>
          </w:p>
        </w:tc>
        <w:tc>
          <w:tcPr>
            <w:tcW w:w="11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Fairmount Healthcare Fund II L.P.</w:t>
            </w:r>
            <w:r>
              <w:rPr>
                <w:rFonts w:ascii="Times;serif" w:hAnsi="Times;serif"/>
                <w:color w:val="008000"/>
                <w:position w:val="7"/>
                <w:sz w:val="16"/>
                <w:sz w:val="20"/>
                <w:shd w:fill="FFFFFF" w:val="clear"/>
              </w:rPr>
              <w:t>(3)</w:t>
            </w:r>
          </w:p>
        </w:tc>
      </w:tr>
      <w:tr>
        <w:trPr/>
        <w:tc>
          <w:tcPr>
            <w:tcW w:w="168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Pre-funded Warrant</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(7)(8)</w:t>
            </w:r>
          </w:p>
        </w:tc>
        <w:tc>
          <w:tcPr>
            <w:tcW w:w="11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(7)(8)</w:t>
            </w:r>
          </w:p>
        </w:tc>
        <w:tc>
          <w:tcPr>
            <w:tcW w:w="12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1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66,436</w:t>
            </w:r>
            <w:r>
              <w:rPr>
                <w:rFonts w:ascii="Times;serif" w:hAnsi="Times;serif"/>
                <w:color w:val="008000"/>
                <w:position w:val="7"/>
                <w:sz w:val="16"/>
                <w:sz w:val="20"/>
                <w:shd w:fill="FFFFFF" w:val="clear"/>
              </w:rPr>
              <w:t>(1)(9)</w:t>
            </w:r>
          </w:p>
        </w:tc>
        <w:tc>
          <w:tcPr>
            <w:tcW w:w="12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0.0001</w:t>
            </w:r>
          </w:p>
        </w:tc>
        <w:tc>
          <w:tcPr>
            <w:tcW w:w="11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Fairmount Healthcare Fund II L.P.</w:t>
            </w:r>
            <w:r>
              <w:rPr>
                <w:rFonts w:ascii="Times;serif" w:hAnsi="Times;serif"/>
                <w:color w:val="008000"/>
                <w:position w:val="7"/>
                <w:sz w:val="16"/>
                <w:sz w:val="20"/>
                <w:shd w:fill="FFFFFF" w:val="clear"/>
              </w:rPr>
              <w:t>(3)</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Fairmount Funds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BARR HARBOR DRIVE, SUITE 400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CONSHOHOCKEN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19428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Fairmount Healthcare Fund 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BARR HARBOR DRIVE, SUITE 400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CONSHOHOCKEN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19428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Fairmount Healthcare Co-Invest VI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BARR HARBOR DRIVE, SUITE 400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CONSHOHOCKEN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19428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Kiselak Tomas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BARR HARBOR DRIVE, SUITE 400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CONSHOHOCKEN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19428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Harwin Peter Evan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BARR HARBOR DRIVE, SUITE 400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CONSHOHOCKEN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19428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Effective as of September 8, 2026 (the "Effective Time"), (i) Cariboos Merger Sub Corp., a wholly owned subsidiary of Cyclerion Therapeutics, Inc. ("Cyclerion"), merged with and into Korsana Biosciences, Inc. ("Pre-Merger Korsana"), with Pre-Merger Korsana continuing as a wholly owned subsidiary of Cyclerion and the surviving corporation of the merger (the "First Merger"), and (ii) immediately thereafter, Pre-Merger Korsana merged with and into Cariboos Merger Sub II, LLC, a second wholly owned subsidiary of Cyclerion ("Second Merger Sub"), with Second Merger Sub being the surviving entity of the merger under the name Korsana Biosciences Operating Company, LLC (the "Second Merger" and, together with the First Merger, the "Merger"). At the Effective Time, Cyclerion changed its name to "Korsana Biosciences, Inc." (hereinafter,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number of shares of the Issuer's common stock received by the Reporting Person in the Merger in exchange for the shares of Pre-Merger Korsana's common stock held by the Reporting Person prior to the Merger. Each share of Pre-Merger Korsana's common stock held at the Effective Time was exchanged for 0.2074 shares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Fairmount Funds Management LLC ("Fairmount") is the investment manager for Fairmount Healthcare Fund II L.P. and Fairmount Healthcare Co-Invest VI L.P. Peter Harwin and Tomas Kiselak are the managers of Fairmount. Fairmount, Mr. Harwin and Mr. Kiselak disclaim beneficial ownership of any of the reported securities, except to the extent of their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Series B Non-Voting Convertible Preferred Stock of the Issuer, no par value per share (the "Issuer Preferred Stock"), has no expiration date and is convertible at any time and from time to time at the option of the holder thereof into a number of shares of the Issuer's common stock equal to the Conversion Ratio, initially 1,000 shares of common stock for each share of Issuer Preferred Stock, subject to adjustment. A holder may not convert Issuer Preferred Stock to the extent that, after giving effect to the conversion, the holder, together with its affiliates and any other persons whose beneficial ownership would be aggregated with the holder's for purposes of Section 13(d) or Section 16 of the Securities Exchange Act of 1934, including any group of which the holder is a member, would beneficially own shares of common stock in excess of the applicable beneficial ownership limitation, which the Reporting Person has designated as 19.99% of the shares of common stock outstanding.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(Continued from footnote 4) A holder may reset that limitation to a lower percentage effective immediately, or to a higher percentage not exceeding 19.99% effective on the 61st day after written notice to the Issuer, and the limitation is automatically set at 9.99% at any time the holder's beneficial ownership is 9.00% or less of the outstanding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the number of shares of the Issuer's common stock underlying 2,074 shares of Issuer Preferred Stock received by the Reporting Person in the Merger in exchange for the shares of Pre-Merger Korsana's Series Seed Preferred Stock ("Korsana Series Seed Preferred Stock") held by the Reporting Person prior to the Merger. Each share of Korsana Series Seed Preferred Stock held at the Effective Time was exchanged for 0.0002074 shares of Issuer Preferred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pre-funded warrants to purchase shares of the Issuer's common stock (the "Issuer Pre-Funded Warrants") have no expiration date and are exercisable at any time and from time to time on or after the date of issuance. A holder may not exercise the Issuer Pre-Funded Warrants to the extent that, immediately prior to or following the exercise, the holder, together with its affiliates and any other persons whose beneficial ownership would be aggregated with the holder's for purposes of Section 13(d) of the Securities Exchange Act of 1934, would beneficially own shares of common stock in excess of the maximum percentage applicable to such holder, which the Reporting Person has elected to be 19.99% of the shares of common stock issued and outstanding following the exercise.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(Continued from footnote 7) A holder may increase or decrease that maximum percentage by written notice to the Issuer, provided that it may not exceed 19.99% and that any increase is not effective until the 61st day after the notice is delivered to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Represents the number of Issuer Pre-Funded Warrants received by the Reporting Person in the Merger in exchange for pre-funded warrants to purchase shares of Pre-Merger Korsana's common stock (the "Korsana Pre-Funded Warrants") held by the Reporting Person prior to the Merger. Each Korsana Pre-Funded Warrant held at the Effective Time was exchanged for 0.2074 Issuer Pre-Funded Warrants.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 Fairmount Funds Management LLC, Fairmount Healthcare Fund II L.P. and Fairmount Healthcare Co-Invest VI L.P. may each be deemed a director by deputization of the Issuer by virtue of the fact that Tomas Kiselak serves on the board of directors of the Issuer and is a manager of Fairmount Funds Management LLC.</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Harwin, Managing Member of Fairmount Funds Management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Harwin, Managing Member of Fairmount Healthcare Fund II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Harwin, Managing Member of Fairmount Healthcare Co-Invest VI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Tomas Kiselak</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Harwin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ck0001755237-ex24.htm"/>
      <w:bookmarkStart w:id="3" w:name="ksck0001755237ex24"/>
      <w:bookmarkEnd w:id="2"/>
      <w:bookmarkEnd w:id="3"/>
      <w:r>
        <w:rPr/>
        <w:t> </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POWER OF ATTORNEY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Know all by these presents that the undersigned hereby constitutes and appoints each of Mark Vignola, Kyle Breidenstine, Ryan A. Murr and Branden Berns, and any of their substitutes, signing singly, as the undersigned’s true and lawful attorney-in-fact to:</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execute for and on behalf of the undersigned, in the undersigned’s capacity as a director and/or officer of Korsana Biosciences, Inc. (the “Company”), Forms 3, 4, and 5 in accordance with Section 16(a) of the Securities Exchange Act of 1934, as amended, and the rules thereunder;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do and perform any and all acts for and on behalf of the undersigned which may be necessary or desirable to complete and execute any such Form 3, 4, or 5, complete and execute any amendment or amendments thereto, and timely file such form with the U.S. Securities and Exchange Commission and any securities exchange or similar authority;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such attorney-in-fact’s substitute or substitutes, shall lawfully do or cause to be done by virtue of this Power of Attorney and the rights and powers herein granted. The undersigned also ratifies hereby any action previously taken by each such attorney-in-fact that would have been authorized by this Power of Attorney if it had been in effect at the time such action was taken. The undersigned acknowledges that each attorney-in-fact, in serving in such capacity at the request of the undersigned, is not assuming, nor is the Company assuming, any of the undersigned’s responsibilities to comply with Section 16 of the Securities Exchange Act of 1934, as amended.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Power of Attorney shall remain in full force and effect until the earliest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its subsidiaries or Gibson, Dunn &amp; Crutcher LLP, as applicable.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WITNESS WHEREOF, the undersigned has caused this Power of Attorney to be executed as of September 8, 2026.</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1898" w:type="dxa"/>
        <w:jc w:val="left"/>
        <w:tblInd w:w="0" w:type="dxa"/>
        <w:tblLayout w:type="fixed"/>
        <w:tblCellMar>
          <w:top w:w="28" w:type="dxa"/>
          <w:left w:w="28" w:type="dxa"/>
          <w:bottom w:w="28" w:type="dxa"/>
          <w:right w:w="28" w:type="dxa"/>
        </w:tblCellMar>
      </w:tblPr>
      <w:tblGrid>
        <w:gridCol w:w="161"/>
        <w:gridCol w:w="15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Tomas Kiselak</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Tomas Kiselak</w:t>
            </w:r>
          </w:p>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802528" TargetMode="External"/><Relationship Id="rId3" Type="http://schemas.openxmlformats.org/officeDocument/2006/relationships/hyperlink" Target="http://www.sec.gov/cgi-bin/browse-edgar?action=getcompany&amp;CIK=0001755237"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hyperlink" Target="http://www.sec.gov/cgi-bin/browse-edgar?action=getcompany&amp;CIK=0001802528" TargetMode="External"/><Relationship Id="rId8" Type="http://schemas.openxmlformats.org/officeDocument/2006/relationships/hyperlink" Target="http://www.sec.gov/cgi-bin/browse-edgar?action=getcompany&amp;CIK=0001769651" TargetMode="External"/><Relationship Id="rId9" Type="http://schemas.openxmlformats.org/officeDocument/2006/relationships/hyperlink" Target="http://www.sec.gov/cgi-bin/browse-edgar?action=getcompany&amp;CIK=0002124208" TargetMode="External"/><Relationship Id="rId10" Type="http://schemas.openxmlformats.org/officeDocument/2006/relationships/hyperlink" Target="http://www.sec.gov/cgi-bin/browse-edgar?action=getcompany&amp;CIK=0001830177" TargetMode="External"/><Relationship Id="rId11" Type="http://schemas.openxmlformats.org/officeDocument/2006/relationships/hyperlink" Target="http://www.sec.gov/cgi-bin/browse-edgar?action=getcompany&amp;CIK=0001663607"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1965</Words>
  <Characters>10560</Characters>
  <CharactersWithSpaces>12375</CharactersWithSpaces>
  <Paragraphs>197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